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3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4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95273A">
        <w:rPr>
          <w:sz w:val="24"/>
          <w:szCs w:val="24"/>
        </w:rPr>
        <w:t>10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95273A">
        <w:rPr>
          <w:sz w:val="24"/>
          <w:szCs w:val="24"/>
        </w:rPr>
        <w:t>17</w:t>
      </w:r>
      <w:r w:rsidR="009A77E9">
        <w:rPr>
          <w:sz w:val="24"/>
          <w:szCs w:val="24"/>
        </w:rPr>
        <w:t xml:space="preserve"> de </w:t>
      </w:r>
      <w:r w:rsidR="00FA4BA9">
        <w:rPr>
          <w:sz w:val="24"/>
          <w:szCs w:val="24"/>
        </w:rPr>
        <w:t>diciembre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A3608E">
        <w:rPr>
          <w:sz w:val="24"/>
          <w:szCs w:val="24"/>
        </w:rPr>
        <w:t>3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764ABD" w:rsidRPr="000E075F" w:rsidRDefault="00764ABD" w:rsidP="00764ABD">
      <w:pPr>
        <w:ind w:left="360"/>
        <w:jc w:val="center"/>
        <w:rPr>
          <w:b/>
        </w:rPr>
      </w:pPr>
      <w:r>
        <w:rPr>
          <w:b/>
        </w:rPr>
        <w:t>Apertura</w:t>
      </w: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8"/>
        <w:gridCol w:w="850"/>
        <w:gridCol w:w="1985"/>
        <w:gridCol w:w="850"/>
      </w:tblGrid>
      <w:tr w:rsidR="00764ABD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95273A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3A" w:rsidRPr="0047077E" w:rsidRDefault="0095273A" w:rsidP="00E15158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3A" w:rsidRPr="00CC55C6" w:rsidRDefault="000E2C01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3A" w:rsidRPr="0047077E" w:rsidRDefault="0095273A" w:rsidP="00E15158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3A" w:rsidRPr="00CC55C6" w:rsidRDefault="000E2C01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5273A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3A" w:rsidRPr="0047077E" w:rsidRDefault="0095273A" w:rsidP="00E15158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3A" w:rsidRPr="00CC55C6" w:rsidRDefault="000E2C01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3A" w:rsidRPr="0047077E" w:rsidRDefault="0095273A" w:rsidP="00E15158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3A" w:rsidRPr="00CC55C6" w:rsidRDefault="000E2C01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5273A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3A" w:rsidRPr="0047077E" w:rsidRDefault="0095273A" w:rsidP="00E15158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3A" w:rsidRPr="00CC55C6" w:rsidRDefault="000E2C01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3A" w:rsidRPr="0047077E" w:rsidRDefault="0095273A" w:rsidP="00E15158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3A" w:rsidRPr="00CC55C6" w:rsidRDefault="000E2C01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5273A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3A" w:rsidRPr="0047077E" w:rsidRDefault="0095273A" w:rsidP="00E15158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Agustín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3A" w:rsidRPr="00CC55C6" w:rsidRDefault="000E2C01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3A" w:rsidRPr="0047077E" w:rsidRDefault="0095273A" w:rsidP="00E15158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3A" w:rsidRPr="00CC55C6" w:rsidRDefault="000E2C01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5273A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3A" w:rsidRPr="0047077E" w:rsidRDefault="0095273A" w:rsidP="00E15158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3A" w:rsidRPr="00CC55C6" w:rsidRDefault="000E2C01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3A" w:rsidRPr="0047077E" w:rsidRDefault="0095273A" w:rsidP="00E15158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3A" w:rsidRPr="00CC55C6" w:rsidRDefault="000E2C01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5273A" w:rsidRPr="00CC55C6" w:rsidTr="000B603E">
        <w:trPr>
          <w:trHeight w:val="28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3A" w:rsidRDefault="0095273A" w:rsidP="00E15158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3A" w:rsidRDefault="000E2C01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3A" w:rsidRDefault="0095273A" w:rsidP="00E15158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73A" w:rsidRDefault="000E2C01" w:rsidP="00CD3F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897183" w:rsidRDefault="00686DA7" w:rsidP="00764ABD">
      <w:pPr>
        <w:ind w:left="363"/>
      </w:pPr>
      <w:r>
        <w:tab/>
        <w:t xml:space="preserve">  </w:t>
      </w:r>
    </w:p>
    <w:p w:rsidR="00931EBA" w:rsidRDefault="00931EBA" w:rsidP="00764ABD"/>
    <w:p w:rsidR="00556BCD" w:rsidRDefault="00556BCD" w:rsidP="00764ABD"/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E84E1C" w:rsidRDefault="00E84E1C" w:rsidP="00E84E1C">
      <w:pPr>
        <w:ind w:left="360"/>
        <w:rPr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0E2C0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01" w:rsidRPr="00CC55C6" w:rsidRDefault="000E2C01" w:rsidP="00764ABD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CD3F6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</w:tr>
      <w:tr w:rsidR="000E2C0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01" w:rsidRPr="00CC55C6" w:rsidRDefault="000E2C01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</w:tr>
      <w:tr w:rsidR="000E2C0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01" w:rsidRPr="00CC55C6" w:rsidRDefault="000E2C01" w:rsidP="003C77E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</w:tr>
      <w:tr w:rsidR="000E2C0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01" w:rsidRPr="00CC55C6" w:rsidRDefault="000E2C01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</w:tr>
      <w:tr w:rsidR="000E2C0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01" w:rsidRPr="00CC55C6" w:rsidRDefault="000E2C01" w:rsidP="002156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0E2C01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01" w:rsidRPr="00CC55C6" w:rsidRDefault="000E2C01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0E2C0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01" w:rsidRDefault="000E2C01" w:rsidP="00764A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CD3F6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</w:tr>
      <w:tr w:rsidR="000E2C0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01" w:rsidRPr="00CC55C6" w:rsidRDefault="000E2C01" w:rsidP="00764A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0E2C0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01" w:rsidRPr="00CC55C6" w:rsidRDefault="000E2C01" w:rsidP="0021561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0E2C0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01" w:rsidRPr="00CC55C6" w:rsidRDefault="000E2C01" w:rsidP="00764A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0E2C0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01" w:rsidRPr="00CC55C6" w:rsidRDefault="000E2C01" w:rsidP="00764AB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0E2C0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C01" w:rsidRPr="00CC55C6" w:rsidRDefault="000E2C01" w:rsidP="00764AB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C01" w:rsidRPr="00CC55C6" w:rsidRDefault="000E2C0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bookmarkEnd w:id="0"/>
    </w:tbl>
    <w:p w:rsidR="00764ABD" w:rsidRDefault="00764ABD" w:rsidP="00764ABD">
      <w:pPr>
        <w:ind w:left="720"/>
        <w:rPr>
          <w:u w:val="single"/>
        </w:rPr>
      </w:pPr>
    </w:p>
    <w:p w:rsidR="00764ABD" w:rsidRDefault="00764ABD" w:rsidP="00764ABD">
      <w:pPr>
        <w:ind w:left="720"/>
        <w:rPr>
          <w:u w:val="single"/>
        </w:rPr>
      </w:pPr>
    </w:p>
    <w:p w:rsidR="00017CAE" w:rsidRDefault="00017CAE" w:rsidP="00764ABD">
      <w:pPr>
        <w:ind w:left="720"/>
        <w:rPr>
          <w:u w:val="single"/>
        </w:rPr>
      </w:pPr>
    </w:p>
    <w:p w:rsidR="00017CAE" w:rsidRDefault="00017CAE" w:rsidP="00764ABD">
      <w:pPr>
        <w:ind w:left="720"/>
        <w:rPr>
          <w:u w:val="single"/>
        </w:rPr>
      </w:pPr>
    </w:p>
    <w:p w:rsidR="00556BCD" w:rsidRDefault="00556BCD">
      <w:pPr>
        <w:rPr>
          <w:b/>
        </w:rPr>
      </w:pPr>
      <w:r>
        <w:rPr>
          <w:b/>
        </w:rPr>
        <w:br w:type="page"/>
      </w: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>Próxima jornada (</w:t>
      </w:r>
      <w:r>
        <w:rPr>
          <w:b/>
          <w:u w:val="single"/>
        </w:rPr>
        <w:t xml:space="preserve"> </w:t>
      </w:r>
      <w:r w:rsidR="00FA4BA9">
        <w:rPr>
          <w:b/>
          <w:u w:val="single"/>
        </w:rPr>
        <w:t>1</w:t>
      </w:r>
      <w:r w:rsidR="0095273A">
        <w:rPr>
          <w:b/>
          <w:u w:val="single"/>
        </w:rPr>
        <w:t>4</w:t>
      </w:r>
      <w:r>
        <w:rPr>
          <w:b/>
          <w:u w:val="single"/>
        </w:rPr>
        <w:t xml:space="preserve"> </w:t>
      </w:r>
      <w:r w:rsidR="0095273A">
        <w:rPr>
          <w:b/>
          <w:u w:val="single"/>
        </w:rPr>
        <w:t>enero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95273A">
        <w:rPr>
          <w:b/>
          <w:u w:val="single"/>
        </w:rPr>
        <w:t>4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5465E5">
        <w:rPr>
          <w:b/>
        </w:rPr>
        <w:t xml:space="preserve">Torneo </w:t>
      </w:r>
      <w:r w:rsidR="007B67C2">
        <w:rPr>
          <w:b/>
        </w:rPr>
        <w:t>Apertura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992"/>
        <w:gridCol w:w="2268"/>
        <w:gridCol w:w="2552"/>
      </w:tblGrid>
      <w:tr w:rsidR="00F41B9A" w:rsidRPr="0047077E" w:rsidTr="002634ED">
        <w:trPr>
          <w:trHeight w:val="187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820" w:type="dxa"/>
            <w:gridSpan w:val="2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F41B9A" w:rsidRPr="0047077E" w:rsidTr="002634ED">
        <w:trPr>
          <w:trHeight w:val="187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both"/>
              <w:textAlignment w:val="top"/>
            </w:pPr>
            <w:r w:rsidRPr="0047077E">
              <w:t>Arteaga</w:t>
            </w:r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95273A" w:rsidP="00201C09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2552" w:type="dxa"/>
          </w:tcPr>
          <w:p w:rsidR="00F41B9A" w:rsidRPr="0047077E" w:rsidRDefault="0095273A" w:rsidP="002634ED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F41B9A" w:rsidRPr="0047077E" w:rsidTr="002634ED">
        <w:trPr>
          <w:trHeight w:val="199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95273A" w:rsidP="00C67713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2552" w:type="dxa"/>
          </w:tcPr>
          <w:p w:rsidR="00F41B9A" w:rsidRPr="0047077E" w:rsidRDefault="0095273A" w:rsidP="002634ED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  <w:tr w:rsidR="00F41B9A" w:rsidRPr="0047077E" w:rsidTr="002634ED">
        <w:trPr>
          <w:trHeight w:val="199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268" w:type="dxa"/>
          </w:tcPr>
          <w:p w:rsidR="00F41B9A" w:rsidRPr="0047077E" w:rsidRDefault="0095273A" w:rsidP="002634ED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2552" w:type="dxa"/>
          </w:tcPr>
          <w:p w:rsidR="00F41B9A" w:rsidRPr="0047077E" w:rsidRDefault="0095273A" w:rsidP="002634ED">
            <w:pPr>
              <w:pStyle w:val="NormalWeb"/>
              <w:jc w:val="both"/>
              <w:textAlignment w:val="top"/>
            </w:pPr>
            <w:r>
              <w:t>Zabala</w:t>
            </w:r>
          </w:p>
        </w:tc>
      </w:tr>
      <w:tr w:rsidR="00F41B9A" w:rsidRPr="0047077E" w:rsidTr="002634ED">
        <w:trPr>
          <w:trHeight w:val="199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268" w:type="dxa"/>
          </w:tcPr>
          <w:p w:rsidR="00F41B9A" w:rsidRPr="0047077E" w:rsidRDefault="0095273A" w:rsidP="002634ED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8 40</w:t>
            </w:r>
          </w:p>
        </w:tc>
        <w:tc>
          <w:tcPr>
            <w:tcW w:w="2552" w:type="dxa"/>
          </w:tcPr>
          <w:p w:rsidR="00F41B9A" w:rsidRPr="0047077E" w:rsidRDefault="0095273A" w:rsidP="002634ED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  <w:tr w:rsidR="00F41B9A" w:rsidRPr="0047077E" w:rsidTr="002634ED">
        <w:trPr>
          <w:trHeight w:val="248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268" w:type="dxa"/>
          </w:tcPr>
          <w:p w:rsidR="00F41B9A" w:rsidRPr="0047077E" w:rsidRDefault="0095273A" w:rsidP="002634ED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2552" w:type="dxa"/>
          </w:tcPr>
          <w:p w:rsidR="00F41B9A" w:rsidRPr="0047077E" w:rsidRDefault="0095273A" w:rsidP="002634ED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  <w:tr w:rsidR="00F41B9A" w:rsidRPr="0047077E" w:rsidTr="002634ED">
        <w:trPr>
          <w:trHeight w:val="248"/>
        </w:trPr>
        <w:tc>
          <w:tcPr>
            <w:tcW w:w="1559" w:type="dxa"/>
          </w:tcPr>
          <w:p w:rsidR="00F41B9A" w:rsidRPr="00A3608E" w:rsidRDefault="00F41B9A" w:rsidP="002634ED">
            <w:pPr>
              <w:pStyle w:val="NormalWeb"/>
              <w:textAlignment w:val="top"/>
              <w:rPr>
                <w:sz w:val="16"/>
                <w:szCs w:val="16"/>
              </w:rPr>
            </w:pPr>
            <w:proofErr w:type="spellStart"/>
            <w:r>
              <w:t>Etxebarri</w:t>
            </w:r>
            <w:proofErr w:type="spellEnd"/>
            <w:r w:rsidR="00A3608E">
              <w:t xml:space="preserve"> </w:t>
            </w:r>
          </w:p>
        </w:tc>
        <w:tc>
          <w:tcPr>
            <w:tcW w:w="992" w:type="dxa"/>
          </w:tcPr>
          <w:p w:rsidR="00F41B9A" w:rsidRPr="00656E9D" w:rsidRDefault="00A3608E" w:rsidP="002634ED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9</w:t>
            </w:r>
          </w:p>
        </w:tc>
        <w:tc>
          <w:tcPr>
            <w:tcW w:w="2268" w:type="dxa"/>
          </w:tcPr>
          <w:p w:rsidR="00F41B9A" w:rsidRDefault="0095273A" w:rsidP="002634ED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2552" w:type="dxa"/>
          </w:tcPr>
          <w:p w:rsidR="00F41B9A" w:rsidRDefault="00FA4BA9" w:rsidP="002634ED">
            <w:pPr>
              <w:pStyle w:val="NormalWeb"/>
              <w:jc w:val="both"/>
              <w:textAlignment w:val="top"/>
            </w:pPr>
            <w:r>
              <w:t>Unirea</w:t>
            </w:r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26205F" w:rsidRDefault="0026205F" w:rsidP="0026205F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E2C01">
        <w:t>1</w:t>
      </w:r>
      <w:r w:rsidR="000A5257">
        <w:t>.</w:t>
      </w:r>
    </w:p>
    <w:p w:rsidR="000E2C01" w:rsidRDefault="000E2C01" w:rsidP="0026205F">
      <w:pPr>
        <w:numPr>
          <w:ilvl w:val="3"/>
          <w:numId w:val="11"/>
        </w:numPr>
      </w:pPr>
      <w:r>
        <w:t>roja al nº 10 (</w:t>
      </w:r>
      <w:proofErr w:type="spellStart"/>
      <w:r>
        <w:t>Efrain</w:t>
      </w:r>
      <w:proofErr w:type="spellEnd"/>
      <w:r>
        <w:t xml:space="preserve"> Corazón Galeano)</w:t>
      </w:r>
      <w:r w:rsidR="003750B5">
        <w:t xml:space="preserve"> por dar un puñetazo en la cara a un jugador contrario.</w:t>
      </w:r>
    </w:p>
    <w:p w:rsidR="003750B5" w:rsidRDefault="003750B5" w:rsidP="003750B5">
      <w:pPr>
        <w:ind w:left="2880"/>
      </w:pPr>
      <w:r>
        <w:t>Se le sanciona con 32 partidos de suspensión y 48 euros de multa.</w:t>
      </w:r>
    </w:p>
    <w:p w:rsidR="003750B5" w:rsidRDefault="003750B5" w:rsidP="003750B5">
      <w:pPr>
        <w:ind w:left="2880"/>
      </w:pPr>
      <w:r>
        <w:t>El Delegado del equipo actuó correctamente según la normativa.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D427EB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554A21">
        <w:t>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26205F" w:rsidRPr="00C50AB8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750B5">
        <w:t>3, 5, 24, 25, 25</w:t>
      </w:r>
      <w:r w:rsidR="000A5257">
        <w:t>.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.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750B5">
        <w:t>15</w:t>
      </w:r>
      <w:r>
        <w:t>.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750B5">
        <w:t>14, 26</w:t>
      </w:r>
      <w:r w:rsidR="00D203E7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940852">
        <w:t xml:space="preserve"> (los) número (s) de licencia: 1</w:t>
      </w:r>
      <w:r w:rsidR="003750B5">
        <w:t>2</w:t>
      </w:r>
      <w:r w:rsidR="00940852">
        <w:t xml:space="preserve">, </w:t>
      </w:r>
      <w:r w:rsidR="003750B5">
        <w:t>13</w:t>
      </w:r>
      <w:r w:rsidR="00940852">
        <w:t>.</w:t>
      </w:r>
    </w:p>
    <w:p w:rsidR="0026205F" w:rsidRPr="00B80DC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26205F" w:rsidRPr="003750B5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940852">
        <w:t>2</w:t>
      </w:r>
      <w:r w:rsidR="003750B5">
        <w:t>6</w:t>
      </w:r>
      <w:r>
        <w:t>.</w:t>
      </w:r>
    </w:p>
    <w:p w:rsidR="003750B5" w:rsidRDefault="003750B5" w:rsidP="003750B5">
      <w:pPr>
        <w:numPr>
          <w:ilvl w:val="3"/>
          <w:numId w:val="11"/>
        </w:numPr>
      </w:pPr>
      <w:r>
        <w:t>roja al nº 19 (Aitor Rivas Torres) por responder con varios puñetazos a un jugador contrario tras recibir de éste un puñetazo en la cara.</w:t>
      </w:r>
    </w:p>
    <w:p w:rsidR="003750B5" w:rsidRDefault="003750B5" w:rsidP="003750B5">
      <w:pPr>
        <w:ind w:left="2880"/>
      </w:pPr>
      <w:r>
        <w:lastRenderedPageBreak/>
        <w:t>Se le sanciona con 25 partidos de suspensión y 48 euros de multa.</w:t>
      </w:r>
    </w:p>
    <w:p w:rsidR="003750B5" w:rsidRPr="003750B5" w:rsidRDefault="003750B5" w:rsidP="003750B5">
      <w:pPr>
        <w:ind w:left="2880"/>
      </w:pPr>
      <w:r>
        <w:t>El Delegado del equipo actuó correctamente según la normativa.</w:t>
      </w:r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750B5">
        <w:t>10</w:t>
      </w:r>
      <w:r w:rsidR="000A5257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26205F" w:rsidRPr="00EC4C68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D203E7">
        <w:t>20</w:t>
      </w:r>
      <w:r w:rsidR="000A5257">
        <w:t>.</w:t>
      </w:r>
    </w:p>
    <w:p w:rsidR="00E92097" w:rsidRDefault="00E92097" w:rsidP="00E92097">
      <w:pPr>
        <w:ind w:left="2880"/>
        <w:rPr>
          <w:u w:val="single"/>
        </w:rPr>
      </w:pPr>
    </w:p>
    <w:p w:rsidR="00DF08AD" w:rsidRPr="00E02939" w:rsidRDefault="00DF08AD" w:rsidP="00DF08A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3750B5" w:rsidRPr="003750B5" w:rsidRDefault="00DF08AD" w:rsidP="00DF08AD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3750B5">
        <w:t>3.</w:t>
      </w:r>
    </w:p>
    <w:p w:rsidR="00DF08AD" w:rsidRPr="00D747D0" w:rsidRDefault="00DF08AD" w:rsidP="003750B5">
      <w:pPr>
        <w:ind w:left="2880"/>
        <w:rPr>
          <w:u w:val="single"/>
        </w:rPr>
      </w:pPr>
    </w:p>
    <w:p w:rsidR="00D747D0" w:rsidRPr="00C50AB8" w:rsidRDefault="00D747D0" w:rsidP="00D747D0">
      <w:pPr>
        <w:pStyle w:val="Prrafodelista"/>
        <w:ind w:left="2552"/>
        <w:rPr>
          <w:b/>
          <w:u w:val="single"/>
        </w:rPr>
      </w:pPr>
      <w:r>
        <w:rPr>
          <w:b/>
        </w:rPr>
        <w:t xml:space="preserve">- </w:t>
      </w:r>
      <w:r w:rsidRPr="00C50AB8">
        <w:rPr>
          <w:b/>
          <w:u w:val="single"/>
        </w:rPr>
        <w:t xml:space="preserve">Incidencia en el partido </w:t>
      </w:r>
      <w:proofErr w:type="spellStart"/>
      <w:r w:rsidRPr="00C50AB8">
        <w:rPr>
          <w:b/>
          <w:u w:val="single"/>
        </w:rPr>
        <w:t>Yepronor-Unirea</w:t>
      </w:r>
      <w:proofErr w:type="spellEnd"/>
      <w:r w:rsidRPr="00C50AB8">
        <w:rPr>
          <w:b/>
          <w:u w:val="single"/>
        </w:rPr>
        <w:t xml:space="preserve"> del 26-11-2023</w:t>
      </w:r>
    </w:p>
    <w:p w:rsidR="003750B5" w:rsidRDefault="003750B5" w:rsidP="00D747D0">
      <w:pPr>
        <w:pStyle w:val="Prrafodelista"/>
        <w:ind w:left="2694"/>
      </w:pPr>
    </w:p>
    <w:p w:rsidR="00E670DB" w:rsidRDefault="003750B5" w:rsidP="00D747D0">
      <w:pPr>
        <w:pStyle w:val="Prrafodelista"/>
        <w:ind w:left="2694"/>
      </w:pPr>
      <w:r>
        <w:t xml:space="preserve">Al Delegado </w:t>
      </w:r>
      <w:proofErr w:type="spellStart"/>
      <w:r>
        <w:t>Jose</w:t>
      </w:r>
      <w:proofErr w:type="spellEnd"/>
      <w:r>
        <w:t xml:space="preserve"> Luis Corral se le </w:t>
      </w:r>
      <w:r w:rsidR="00E670DB">
        <w:t>suspende durante 5</w:t>
      </w:r>
      <w:r>
        <w:t xml:space="preserve"> partidos en su </w:t>
      </w:r>
      <w:r w:rsidR="00E670DB">
        <w:t>responsabilidad de Delegado p</w:t>
      </w:r>
      <w:r>
        <w:t xml:space="preserve">or sus manifestaciones en el grupo </w:t>
      </w:r>
      <w:proofErr w:type="spellStart"/>
      <w:r>
        <w:t>whatsapp</w:t>
      </w:r>
      <w:proofErr w:type="spellEnd"/>
      <w:r w:rsidR="00E670DB">
        <w:t xml:space="preserve"> de responsables y posteriores acciones (conversación improcedente con el árbitro del encuentro que ha derivado en perjuicio para el Torneo, falta de respeto hacia el responsable del Comité de Competición, etc.).</w:t>
      </w:r>
    </w:p>
    <w:p w:rsidR="00D747D0" w:rsidRDefault="00E670DB" w:rsidP="00D747D0">
      <w:pPr>
        <w:pStyle w:val="Prrafodelista"/>
        <w:ind w:left="2694"/>
      </w:pPr>
      <w:r>
        <w:t xml:space="preserve">Queda apercibido, asimismo, </w:t>
      </w:r>
      <w:r w:rsidR="005869EF">
        <w:t xml:space="preserve">de </w:t>
      </w:r>
      <w:r>
        <w:t xml:space="preserve">que </w:t>
      </w:r>
      <w:r w:rsidR="005869EF">
        <w:t>nuevas actuaciones que supongan incumplimiento de sus responsabilidades como Delegado ocasionarán su suspensión definitiva en tal cometido.</w:t>
      </w:r>
    </w:p>
    <w:p w:rsidR="005869EF" w:rsidRDefault="005869EF" w:rsidP="00D747D0">
      <w:pPr>
        <w:pStyle w:val="Prrafodelista"/>
        <w:ind w:left="2694"/>
      </w:pPr>
    </w:p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t xml:space="preserve"> </w:t>
      </w:r>
      <w:r w:rsidR="00F41B9A">
        <w:rPr>
          <w:b/>
        </w:rPr>
        <w:t>5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EB70E6" w:rsidRDefault="00EB70E6" w:rsidP="00EB70E6">
      <w:pPr>
        <w:ind w:left="708"/>
      </w:pPr>
      <w:r>
        <w:t>No podrán jugar el próximo domingo los siguientes jugadores / entrenadores:</w:t>
      </w:r>
    </w:p>
    <w:p w:rsidR="00EB70E6" w:rsidRDefault="00EB70E6" w:rsidP="00EB70E6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EB70E6" w:rsidTr="002634ED">
        <w:tc>
          <w:tcPr>
            <w:tcW w:w="1531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EB70E6" w:rsidTr="002634ED">
        <w:tc>
          <w:tcPr>
            <w:tcW w:w="1531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</w:tr>
      <w:tr w:rsidR="00EB70E6" w:rsidRPr="003500F1" w:rsidTr="002634ED">
        <w:tc>
          <w:tcPr>
            <w:tcW w:w="1531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EB70E6" w:rsidRPr="007519BC" w:rsidRDefault="00EB70E6" w:rsidP="002634E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Marcos Mendoza Trujillo </w:t>
            </w:r>
          </w:p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2)</w:t>
            </w:r>
          </w:p>
        </w:tc>
        <w:tc>
          <w:tcPr>
            <w:tcW w:w="1134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32 partidos de suspensión y 48 euros de multa por propinar un puñetazo a un contrario que había cometido una falta sobre un compañero suyo.</w:t>
            </w:r>
          </w:p>
          <w:p w:rsidR="001D2463" w:rsidRPr="002C611F" w:rsidRDefault="001D2463" w:rsidP="002634ED">
            <w:pPr>
              <w:rPr>
                <w:sz w:val="20"/>
                <w:szCs w:val="20"/>
              </w:rPr>
            </w:pPr>
          </w:p>
          <w:p w:rsidR="00EB70E6" w:rsidRPr="002C611F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1D2463" w:rsidRPr="003500F1" w:rsidTr="002634ED">
        <w:tc>
          <w:tcPr>
            <w:tcW w:w="1531" w:type="dxa"/>
          </w:tcPr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1D2463" w:rsidRDefault="001D2463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retira la Ficha de forma cautelar y no podrá participar en ningún partido hasta decisión definitiva, por incidencia en el encuentro </w:t>
            </w:r>
            <w:proofErr w:type="spellStart"/>
            <w:r>
              <w:rPr>
                <w:sz w:val="20"/>
                <w:szCs w:val="20"/>
              </w:rPr>
              <w:lastRenderedPageBreak/>
              <w:t>Yepronor-Unirea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5869EF" w:rsidRPr="003500F1" w:rsidTr="002634ED">
        <w:tc>
          <w:tcPr>
            <w:tcW w:w="1531" w:type="dxa"/>
          </w:tcPr>
          <w:p w:rsidR="005869EF" w:rsidRDefault="005869EF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Jose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Luis Corral (Delegado)</w:t>
            </w:r>
          </w:p>
        </w:tc>
        <w:tc>
          <w:tcPr>
            <w:tcW w:w="1134" w:type="dxa"/>
          </w:tcPr>
          <w:p w:rsidR="005869EF" w:rsidRDefault="005869EF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Yepronor</w:t>
            </w:r>
            <w:proofErr w:type="spellEnd"/>
          </w:p>
        </w:tc>
        <w:tc>
          <w:tcPr>
            <w:tcW w:w="1275" w:type="dxa"/>
          </w:tcPr>
          <w:p w:rsidR="005869EF" w:rsidRDefault="005869EF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5869EF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4253" w:type="dxa"/>
          </w:tcPr>
          <w:p w:rsidR="005869EF" w:rsidRDefault="005869EF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suspende por 5 encuentros en su responsabilidad de Delegado por sus manifestaciones en el Grupo </w:t>
            </w:r>
            <w:proofErr w:type="spellStart"/>
            <w:r>
              <w:rPr>
                <w:sz w:val="20"/>
                <w:szCs w:val="20"/>
              </w:rPr>
              <w:t>Whatsapp</w:t>
            </w:r>
            <w:proofErr w:type="spellEnd"/>
            <w:r>
              <w:rPr>
                <w:sz w:val="20"/>
                <w:szCs w:val="20"/>
              </w:rPr>
              <w:t xml:space="preserve"> de Responsables así como sus acciones posteriores.</w:t>
            </w:r>
          </w:p>
          <w:p w:rsidR="005869EF" w:rsidRDefault="00E15158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5869EF" w:rsidRPr="003500F1" w:rsidTr="002634ED">
        <w:tc>
          <w:tcPr>
            <w:tcW w:w="1531" w:type="dxa"/>
          </w:tcPr>
          <w:p w:rsidR="00E15158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Efrain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Corazón Galeano </w:t>
            </w:r>
          </w:p>
          <w:p w:rsidR="005869EF" w:rsidRDefault="00E15158" w:rsidP="00E15158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E15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5869EF" w:rsidRPr="003500F1" w:rsidTr="002634ED">
        <w:tc>
          <w:tcPr>
            <w:tcW w:w="1531" w:type="dxa"/>
          </w:tcPr>
          <w:p w:rsidR="005869EF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Aitor Rivas Torres </w:t>
            </w:r>
          </w:p>
          <w:p w:rsidR="00E15158" w:rsidRDefault="00FB57B3" w:rsidP="00FB57B3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</w:t>
            </w:r>
            <w:r w:rsidR="00E15158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º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19)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19-1-2025</w:t>
            </w:r>
          </w:p>
        </w:tc>
        <w:tc>
          <w:tcPr>
            <w:tcW w:w="4253" w:type="dxa"/>
          </w:tcPr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25 partidos de suspensión y 48 euros de multa por repeler a puñetazos una agresión previa de un contrario.</w:t>
            </w:r>
          </w:p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861E61" w:rsidRPr="003500F1" w:rsidTr="002634ED">
        <w:tc>
          <w:tcPr>
            <w:tcW w:w="1531" w:type="dxa"/>
          </w:tcPr>
          <w:p w:rsidR="00861E61" w:rsidRDefault="00861E61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Damián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Catalin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(delegado)</w:t>
            </w:r>
          </w:p>
        </w:tc>
        <w:tc>
          <w:tcPr>
            <w:tcW w:w="1134" w:type="dxa"/>
          </w:tcPr>
          <w:p w:rsidR="00861E61" w:rsidRDefault="00861E61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861E61" w:rsidRDefault="00861E61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3-12-2023</w:t>
            </w:r>
          </w:p>
        </w:tc>
        <w:tc>
          <w:tcPr>
            <w:tcW w:w="1276" w:type="dxa"/>
          </w:tcPr>
          <w:p w:rsidR="00861E61" w:rsidRDefault="00861E61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3-3-2024</w:t>
            </w:r>
          </w:p>
        </w:tc>
        <w:tc>
          <w:tcPr>
            <w:tcW w:w="4253" w:type="dxa"/>
          </w:tcPr>
          <w:p w:rsidR="00861E61" w:rsidRDefault="00861E61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10 partidos de suspensión en su responsabilidad  como delegado y 48 euros de multa por su actuación tras el partido </w:t>
            </w:r>
            <w:proofErr w:type="spellStart"/>
            <w:r>
              <w:rPr>
                <w:sz w:val="20"/>
                <w:szCs w:val="20"/>
              </w:rPr>
              <w:t>Yepronor-Unirea</w:t>
            </w:r>
            <w:proofErr w:type="spellEnd"/>
            <w:r>
              <w:rPr>
                <w:sz w:val="20"/>
                <w:szCs w:val="20"/>
              </w:rPr>
              <w:t xml:space="preserve"> del 26-11-2023.</w:t>
            </w:r>
          </w:p>
          <w:p w:rsidR="00861E61" w:rsidRDefault="00861E61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26-11-2023</w:t>
            </w:r>
          </w:p>
        </w:tc>
      </w:tr>
    </w:tbl>
    <w:p w:rsidR="000E3C3F" w:rsidRDefault="000E3C3F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la web debidamente cumplimentadas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lastRenderedPageBreak/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</w:t>
      </w:r>
      <w:r w:rsidR="00681AD9">
        <w:rPr>
          <w:color w:val="000000"/>
        </w:rPr>
        <w:t xml:space="preserve">ticipando desde años anteriores, salvo Cafeteros que, al ser su segunda temporada en el Torneo no tiene bonificación alguna y debe pagar 700 euros adicionales esta temporada y la siguiente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681AD9">
        <w:rPr>
          <w:b/>
          <w:color w:val="000000"/>
        </w:rPr>
        <w:t>9</w:t>
      </w:r>
      <w:r w:rsidRPr="009C25C4">
        <w:rPr>
          <w:b/>
          <w:color w:val="000000"/>
        </w:rPr>
        <w:t>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</w:t>
      </w:r>
      <w:r w:rsidR="00EB70E6">
        <w:rPr>
          <w:color w:val="000000"/>
        </w:rPr>
        <w:t>8</w:t>
      </w:r>
      <w:r w:rsidR="00681AD9">
        <w:rPr>
          <w:color w:val="000000"/>
        </w:rPr>
        <w:t>00</w:t>
      </w:r>
      <w:r>
        <w:rPr>
          <w:color w:val="000000"/>
        </w:rPr>
        <w:t xml:space="preserve">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 xml:space="preserve"> de octubre de 202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9C25C4">
        <w:t>XXXXX</w:t>
      </w:r>
      <w:r>
        <w:t xml:space="preserve">: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3</w:t>
      </w:r>
      <w:r w:rsidR="009C25C4">
        <w:t>/2</w:t>
      </w:r>
      <w:r w:rsidR="00681AD9">
        <w:t>4</w:t>
      </w:r>
      <w:r>
        <w:t>,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866429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9C25C4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Equipos nuevos</w:t>
            </w:r>
            <w:r w:rsidR="00681AD9">
              <w:rPr>
                <w:b/>
              </w:rPr>
              <w:t xml:space="preserve"> (Cafeteros)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1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FC690A"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6F7F04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7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1.1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lastRenderedPageBreak/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5</w:t>
            </w:r>
            <w:r>
              <w:rPr>
                <w:b/>
              </w:rPr>
              <w:t>-1-202</w:t>
            </w:r>
            <w:r w:rsidR="00FC690A"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4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FC690A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5</w:t>
            </w:r>
            <w:r w:rsidR="00065F7F">
              <w:rPr>
                <w:b/>
              </w:rPr>
              <w:t>-2-202</w:t>
            </w:r>
            <w:r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D747D0" w:rsidRDefault="00866429" w:rsidP="00D747D0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 xml:space="preserve">Pagos </w:t>
      </w:r>
      <w:r w:rsidR="008A3714">
        <w:rPr>
          <w:b/>
          <w:u w:val="single"/>
        </w:rPr>
        <w:t xml:space="preserve">de cuotas </w:t>
      </w:r>
      <w:r w:rsidR="00AB6679" w:rsidRPr="002160C9">
        <w:rPr>
          <w:b/>
          <w:u w:val="single"/>
        </w:rPr>
        <w:t>pendientes a esta fecha.</w:t>
      </w:r>
    </w:p>
    <w:p w:rsidR="00D747D0" w:rsidRPr="00D747D0" w:rsidRDefault="00D747D0" w:rsidP="00D747D0">
      <w:pPr>
        <w:pStyle w:val="NormalWeb"/>
        <w:shd w:val="clear" w:color="auto" w:fill="FFFFFF"/>
        <w:jc w:val="both"/>
        <w:textAlignment w:val="top"/>
        <w:rPr>
          <w:color w:val="000000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410"/>
      </w:tblGrid>
      <w:tr w:rsidR="00D747D0" w:rsidTr="00E15158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D747D0" w:rsidRDefault="00D747D0" w:rsidP="00E15158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D747D0" w:rsidRDefault="00D747D0" w:rsidP="00E15158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Importe pendiente</w:t>
            </w:r>
          </w:p>
          <w:p w:rsidR="00D747D0" w:rsidRDefault="00D747D0" w:rsidP="00E15158">
            <w:pPr>
              <w:spacing w:before="100" w:after="10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(1) (2)</w:t>
            </w:r>
          </w:p>
        </w:tc>
      </w:tr>
      <w:tr w:rsidR="00D747D0" w:rsidTr="00E15158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7D0" w:rsidRDefault="00D747D0" w:rsidP="00E15158">
            <w:pPr>
              <w:spacing w:before="100" w:after="100"/>
              <w:jc w:val="both"/>
            </w:pPr>
            <w:r>
              <w:t>Cafeteros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7D0" w:rsidRDefault="00D747D0" w:rsidP="00E15158">
            <w:pPr>
              <w:spacing w:before="100" w:after="100"/>
              <w:jc w:val="center"/>
            </w:pPr>
            <w:r>
              <w:t>520,00 €</w:t>
            </w:r>
          </w:p>
        </w:tc>
      </w:tr>
      <w:tr w:rsidR="00D747D0" w:rsidTr="00E15158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7D0" w:rsidRDefault="00D747D0" w:rsidP="00E15158">
            <w:pPr>
              <w:spacing w:before="100" w:after="100"/>
              <w:jc w:val="both"/>
            </w:pPr>
            <w:proofErr w:type="spellStart"/>
            <w:r>
              <w:t>Yepronor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7D0" w:rsidRDefault="00D747D0" w:rsidP="00E15158">
            <w:pPr>
              <w:spacing w:before="100" w:after="100"/>
              <w:jc w:val="center"/>
            </w:pPr>
            <w:r>
              <w:t>416,00 €</w:t>
            </w:r>
          </w:p>
        </w:tc>
      </w:tr>
      <w:tr w:rsidR="00D747D0" w:rsidTr="00E15158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7D0" w:rsidRDefault="00D747D0" w:rsidP="00E15158">
            <w:pPr>
              <w:spacing w:before="100" w:after="100"/>
              <w:jc w:val="both"/>
            </w:pPr>
            <w:r>
              <w:t>8 40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7D0" w:rsidRDefault="00D747D0" w:rsidP="00E15158">
            <w:pPr>
              <w:spacing w:before="100" w:after="100"/>
              <w:jc w:val="center"/>
            </w:pPr>
            <w:r>
              <w:t>151,90 €</w:t>
            </w:r>
          </w:p>
        </w:tc>
      </w:tr>
      <w:tr w:rsidR="00D747D0" w:rsidTr="00E15158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7D0" w:rsidRDefault="00D747D0" w:rsidP="00E15158">
            <w:pPr>
              <w:spacing w:before="100" w:after="100"/>
              <w:jc w:val="both"/>
            </w:pPr>
            <w:proofErr w:type="spellStart"/>
            <w:r>
              <w:t>Unirea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7D0" w:rsidRDefault="00D747D0" w:rsidP="00E15158">
            <w:pPr>
              <w:spacing w:before="100" w:after="100"/>
              <w:jc w:val="center"/>
            </w:pPr>
            <w:r>
              <w:t>208,37 €</w:t>
            </w:r>
          </w:p>
        </w:tc>
      </w:tr>
      <w:tr w:rsidR="00D747D0" w:rsidTr="00E15158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7D0" w:rsidRDefault="00D747D0" w:rsidP="00E15158">
            <w:pPr>
              <w:spacing w:before="100" w:after="100"/>
              <w:jc w:val="both"/>
            </w:pPr>
            <w:proofErr w:type="spellStart"/>
            <w:r>
              <w:t>Koky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47D0" w:rsidRDefault="00D747D0" w:rsidP="00E15158">
            <w:pPr>
              <w:spacing w:before="100" w:after="100"/>
              <w:jc w:val="center"/>
            </w:pPr>
            <w:r>
              <w:t>416,00 €</w:t>
            </w:r>
          </w:p>
        </w:tc>
      </w:tr>
    </w:tbl>
    <w:p w:rsidR="00D747D0" w:rsidRPr="000765EB" w:rsidRDefault="00D747D0" w:rsidP="00D747D0">
      <w:pPr>
        <w:pStyle w:val="Prrafodelista"/>
        <w:numPr>
          <w:ilvl w:val="0"/>
          <w:numId w:val="16"/>
        </w:numPr>
        <w:shd w:val="clear" w:color="auto" w:fill="FFFFFF"/>
        <w:spacing w:before="100" w:after="100"/>
        <w:ind w:left="709" w:hanging="425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8A3714" w:rsidRDefault="00D747D0" w:rsidP="008A3714">
      <w:pPr>
        <w:pStyle w:val="Prrafodelista"/>
        <w:numPr>
          <w:ilvl w:val="0"/>
          <w:numId w:val="16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8A3714" w:rsidRDefault="008A3714" w:rsidP="008A3714">
      <w:pPr>
        <w:shd w:val="clear" w:color="auto" w:fill="FFFFFF"/>
        <w:spacing w:before="100" w:after="100"/>
        <w:jc w:val="both"/>
        <w:textAlignment w:val="top"/>
      </w:pPr>
    </w:p>
    <w:p w:rsidR="008A3714" w:rsidRDefault="008A3714" w:rsidP="008A3714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proofErr w:type="spellStart"/>
      <w:r>
        <w:rPr>
          <w:b/>
          <w:u w:val="single"/>
        </w:rPr>
        <w:t>oct-dic</w:t>
      </w:r>
      <w:proofErr w:type="spellEnd"/>
      <w:r>
        <w:rPr>
          <w:b/>
          <w:u w:val="single"/>
        </w:rPr>
        <w:t xml:space="preserve"> 2023</w:t>
      </w:r>
      <w:r w:rsidRPr="002160C9">
        <w:rPr>
          <w:b/>
          <w:u w:val="single"/>
        </w:rPr>
        <w:t>.</w:t>
      </w:r>
    </w:p>
    <w:p w:rsidR="008A3714" w:rsidRDefault="008A3714" w:rsidP="008A3714">
      <w:pPr>
        <w:pStyle w:val="NormalWeb"/>
        <w:shd w:val="clear" w:color="auto" w:fill="FFFFFF"/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>Se deben pagar antes del 23-1-2024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126"/>
        <w:gridCol w:w="1053"/>
        <w:gridCol w:w="1786"/>
        <w:gridCol w:w="1786"/>
        <w:gridCol w:w="1786"/>
      </w:tblGrid>
      <w:tr w:rsidR="008A3714" w:rsidTr="00B27415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8A3714" w:rsidTr="00B27415">
        <w:tc>
          <w:tcPr>
            <w:tcW w:w="212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8A3714" w:rsidTr="00B27415">
        <w:tc>
          <w:tcPr>
            <w:tcW w:w="2126" w:type="dxa"/>
          </w:tcPr>
          <w:p w:rsidR="008A3714" w:rsidRDefault="008A3714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8 40</w:t>
            </w:r>
          </w:p>
        </w:tc>
        <w:tc>
          <w:tcPr>
            <w:tcW w:w="1053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72,00 €</w:t>
            </w:r>
          </w:p>
        </w:tc>
        <w:tc>
          <w:tcPr>
            <w:tcW w:w="1786" w:type="dxa"/>
          </w:tcPr>
          <w:p w:rsidR="008A3714" w:rsidRPr="00B27415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96,00 €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Atlantic</w:t>
            </w:r>
            <w:proofErr w:type="spellEnd"/>
            <w:r>
              <w:rPr>
                <w:color w:val="000000"/>
              </w:rPr>
              <w:t xml:space="preserve">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15,75 €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15,75 €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Cafeteros</w:t>
            </w:r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30,00 €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42,00 €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Koky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Perla del Oeste</w:t>
            </w:r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37,50 €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48,00 €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Pindepa</w:t>
            </w:r>
            <w:proofErr w:type="spellEnd"/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33,00 €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Tartanga</w:t>
            </w:r>
            <w:proofErr w:type="spellEnd"/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19,50 €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Unirea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49,50 €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181,50 €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Yepronor</w:t>
            </w:r>
            <w:proofErr w:type="spellEnd"/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33,00 €</w:t>
            </w:r>
          </w:p>
        </w:tc>
      </w:tr>
    </w:tbl>
    <w:p w:rsidR="008A3714" w:rsidRPr="00D747D0" w:rsidRDefault="00B27415" w:rsidP="00B27415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lastRenderedPageBreak/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8A3714" w:rsidRDefault="008A3714" w:rsidP="008A3714">
      <w:pPr>
        <w:shd w:val="clear" w:color="auto" w:fill="FFFFFF"/>
        <w:spacing w:before="100" w:after="100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17D" w:rsidRDefault="00E5317D">
      <w:r>
        <w:separator/>
      </w:r>
    </w:p>
  </w:endnote>
  <w:endnote w:type="continuationSeparator" w:id="0">
    <w:p w:rsidR="00E5317D" w:rsidRDefault="00E53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158" w:rsidRDefault="00E15158">
    <w:pPr>
      <w:pStyle w:val="Piedepgina"/>
      <w:pBdr>
        <w:bottom w:val="single" w:sz="12" w:space="1" w:color="auto"/>
      </w:pBdr>
    </w:pPr>
  </w:p>
  <w:p w:rsidR="00E15158" w:rsidRPr="00B62BB2" w:rsidRDefault="00E15158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10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17</w:t>
    </w:r>
    <w:r w:rsidRPr="00B62BB2">
      <w:rPr>
        <w:sz w:val="18"/>
        <w:szCs w:val="18"/>
      </w:rPr>
      <w:t>-</w:t>
    </w:r>
    <w:r>
      <w:rPr>
        <w:sz w:val="18"/>
        <w:szCs w:val="18"/>
      </w:rPr>
      <w:t>12-</w:t>
    </w:r>
    <w:r w:rsidRPr="00B62BB2">
      <w:rPr>
        <w:sz w:val="18"/>
        <w:szCs w:val="18"/>
      </w:rPr>
      <w:t>2</w:t>
    </w:r>
    <w:r>
      <w:rPr>
        <w:sz w:val="18"/>
        <w:szCs w:val="18"/>
      </w:rPr>
      <w:t>3</w:t>
    </w:r>
    <w:r w:rsidRPr="00B62BB2">
      <w:rPr>
        <w:sz w:val="18"/>
        <w:szCs w:val="18"/>
      </w:rPr>
      <w:t xml:space="preserve">  (</w:t>
    </w:r>
    <w:r>
      <w:rPr>
        <w:sz w:val="18"/>
        <w:szCs w:val="18"/>
      </w:rPr>
      <w:t>Torneo Apertura 2023/2024</w:t>
    </w:r>
    <w:r w:rsidRPr="00B62BB2">
      <w:rPr>
        <w:sz w:val="18"/>
        <w:szCs w:val="18"/>
      </w:rPr>
      <w:t xml:space="preserve">) </w:t>
    </w:r>
    <w:r>
      <w:rPr>
        <w:sz w:val="18"/>
        <w:szCs w:val="18"/>
      </w:rPr>
      <w:t xml:space="preserve">          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</w:t>
    </w:r>
    <w:r w:rsidRPr="00B62BB2">
      <w:rPr>
        <w:sz w:val="18"/>
        <w:szCs w:val="18"/>
      </w:rPr>
      <w:t xml:space="preserve">                      pág.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Pr="00B62BB2">
      <w:rPr>
        <w:rStyle w:val="Nmerodepgina"/>
        <w:sz w:val="18"/>
        <w:szCs w:val="18"/>
      </w:rPr>
      <w:fldChar w:fldCharType="separate"/>
    </w:r>
    <w:r w:rsidR="007E1CF4">
      <w:rPr>
        <w:rStyle w:val="Nmerodepgina"/>
        <w:noProof/>
        <w:sz w:val="18"/>
        <w:szCs w:val="18"/>
      </w:rPr>
      <w:t>1</w:t>
    </w:r>
    <w:r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Pr="00B62BB2">
      <w:rPr>
        <w:rStyle w:val="Nmerodepgina"/>
        <w:sz w:val="18"/>
        <w:szCs w:val="18"/>
      </w:rPr>
      <w:fldChar w:fldCharType="separate"/>
    </w:r>
    <w:r w:rsidR="007E1CF4">
      <w:rPr>
        <w:rStyle w:val="Nmerodepgina"/>
        <w:noProof/>
        <w:sz w:val="18"/>
        <w:szCs w:val="18"/>
      </w:rPr>
      <w:t>7</w:t>
    </w:r>
    <w:r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17D" w:rsidRDefault="00E5317D">
      <w:r>
        <w:separator/>
      </w:r>
    </w:p>
  </w:footnote>
  <w:footnote w:type="continuationSeparator" w:id="0">
    <w:p w:rsidR="00E5317D" w:rsidRDefault="00E53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4"/>
  </w:num>
  <w:num w:numId="13">
    <w:abstractNumId w:val="15"/>
  </w:num>
  <w:num w:numId="14">
    <w:abstractNumId w:val="14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64CD"/>
    <w:rsid w:val="00081A7B"/>
    <w:rsid w:val="000826AF"/>
    <w:rsid w:val="00084E82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8BD"/>
    <w:rsid w:val="000A1552"/>
    <w:rsid w:val="000A1AAE"/>
    <w:rsid w:val="000A2306"/>
    <w:rsid w:val="000A3312"/>
    <w:rsid w:val="000A38CA"/>
    <w:rsid w:val="000A4BDF"/>
    <w:rsid w:val="000A5257"/>
    <w:rsid w:val="000B091F"/>
    <w:rsid w:val="000B0CC6"/>
    <w:rsid w:val="000B15E2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75F"/>
    <w:rsid w:val="000E122B"/>
    <w:rsid w:val="000E146B"/>
    <w:rsid w:val="000E1AAE"/>
    <w:rsid w:val="000E2C01"/>
    <w:rsid w:val="000E320A"/>
    <w:rsid w:val="000E322A"/>
    <w:rsid w:val="000E33E6"/>
    <w:rsid w:val="000E3C3F"/>
    <w:rsid w:val="000E7CCC"/>
    <w:rsid w:val="000F160D"/>
    <w:rsid w:val="000F3DB9"/>
    <w:rsid w:val="000F68FF"/>
    <w:rsid w:val="000F7B22"/>
    <w:rsid w:val="00100834"/>
    <w:rsid w:val="00100CA9"/>
    <w:rsid w:val="00105262"/>
    <w:rsid w:val="00107D40"/>
    <w:rsid w:val="00110D3B"/>
    <w:rsid w:val="00110D9B"/>
    <w:rsid w:val="00111A9C"/>
    <w:rsid w:val="00112EB6"/>
    <w:rsid w:val="00113817"/>
    <w:rsid w:val="00114BEF"/>
    <w:rsid w:val="00115806"/>
    <w:rsid w:val="00116D17"/>
    <w:rsid w:val="00122D0D"/>
    <w:rsid w:val="0012621C"/>
    <w:rsid w:val="00127C55"/>
    <w:rsid w:val="0013042A"/>
    <w:rsid w:val="00130F8A"/>
    <w:rsid w:val="00131196"/>
    <w:rsid w:val="001321BD"/>
    <w:rsid w:val="00132593"/>
    <w:rsid w:val="00132CC0"/>
    <w:rsid w:val="001330F9"/>
    <w:rsid w:val="00133A1B"/>
    <w:rsid w:val="00134635"/>
    <w:rsid w:val="001346EC"/>
    <w:rsid w:val="00134FB6"/>
    <w:rsid w:val="0013588A"/>
    <w:rsid w:val="00136515"/>
    <w:rsid w:val="00141910"/>
    <w:rsid w:val="00141BE3"/>
    <w:rsid w:val="00141FCD"/>
    <w:rsid w:val="001421DC"/>
    <w:rsid w:val="00143D51"/>
    <w:rsid w:val="00144080"/>
    <w:rsid w:val="001456CB"/>
    <w:rsid w:val="00155231"/>
    <w:rsid w:val="001565C3"/>
    <w:rsid w:val="001571AB"/>
    <w:rsid w:val="001577A5"/>
    <w:rsid w:val="001600B6"/>
    <w:rsid w:val="00161E9D"/>
    <w:rsid w:val="00163B3F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4638"/>
    <w:rsid w:val="00185825"/>
    <w:rsid w:val="001871C1"/>
    <w:rsid w:val="0018747A"/>
    <w:rsid w:val="00190550"/>
    <w:rsid w:val="001912FC"/>
    <w:rsid w:val="00191EB8"/>
    <w:rsid w:val="00192985"/>
    <w:rsid w:val="00192D9D"/>
    <w:rsid w:val="0019326D"/>
    <w:rsid w:val="00194633"/>
    <w:rsid w:val="00196E9B"/>
    <w:rsid w:val="00197E81"/>
    <w:rsid w:val="001A1929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69E1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463"/>
    <w:rsid w:val="001D355D"/>
    <w:rsid w:val="001D3AEA"/>
    <w:rsid w:val="001D5DF2"/>
    <w:rsid w:val="001D7EE7"/>
    <w:rsid w:val="001E30B6"/>
    <w:rsid w:val="001E41AB"/>
    <w:rsid w:val="001E6257"/>
    <w:rsid w:val="001E7CE4"/>
    <w:rsid w:val="001F1821"/>
    <w:rsid w:val="001F1960"/>
    <w:rsid w:val="001F240B"/>
    <w:rsid w:val="001F3195"/>
    <w:rsid w:val="001F59DF"/>
    <w:rsid w:val="001F5FE8"/>
    <w:rsid w:val="001F672A"/>
    <w:rsid w:val="001F78D7"/>
    <w:rsid w:val="00201C09"/>
    <w:rsid w:val="0020251F"/>
    <w:rsid w:val="002032A8"/>
    <w:rsid w:val="00203CCB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4643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F59"/>
    <w:rsid w:val="00290502"/>
    <w:rsid w:val="002911A8"/>
    <w:rsid w:val="00291239"/>
    <w:rsid w:val="0029147C"/>
    <w:rsid w:val="00293887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92E"/>
    <w:rsid w:val="002E2B15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10744"/>
    <w:rsid w:val="00312593"/>
    <w:rsid w:val="00317C8D"/>
    <w:rsid w:val="00320573"/>
    <w:rsid w:val="00320BD6"/>
    <w:rsid w:val="00324A2D"/>
    <w:rsid w:val="00324C3B"/>
    <w:rsid w:val="003255E7"/>
    <w:rsid w:val="003257A6"/>
    <w:rsid w:val="00327AE8"/>
    <w:rsid w:val="0033039E"/>
    <w:rsid w:val="003304EE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F1E"/>
    <w:rsid w:val="003720E2"/>
    <w:rsid w:val="00373DD3"/>
    <w:rsid w:val="00374113"/>
    <w:rsid w:val="00374DC0"/>
    <w:rsid w:val="003750B5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422F"/>
    <w:rsid w:val="00385519"/>
    <w:rsid w:val="003872D1"/>
    <w:rsid w:val="00387B9C"/>
    <w:rsid w:val="00395721"/>
    <w:rsid w:val="0039590C"/>
    <w:rsid w:val="0039717F"/>
    <w:rsid w:val="00397D68"/>
    <w:rsid w:val="00397EB6"/>
    <w:rsid w:val="003A0049"/>
    <w:rsid w:val="003A09CE"/>
    <w:rsid w:val="003A2C7B"/>
    <w:rsid w:val="003A4FD9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D5"/>
    <w:rsid w:val="003C2484"/>
    <w:rsid w:val="003C4ED7"/>
    <w:rsid w:val="003C5B0A"/>
    <w:rsid w:val="003C77EB"/>
    <w:rsid w:val="003D12A4"/>
    <w:rsid w:val="003D1D4D"/>
    <w:rsid w:val="003D2B2E"/>
    <w:rsid w:val="003D2CEF"/>
    <w:rsid w:val="003D4CED"/>
    <w:rsid w:val="003E0BA3"/>
    <w:rsid w:val="003E0EAE"/>
    <w:rsid w:val="003E16ED"/>
    <w:rsid w:val="003E18DD"/>
    <w:rsid w:val="003E1C55"/>
    <w:rsid w:val="003E21B2"/>
    <w:rsid w:val="003E3FC6"/>
    <w:rsid w:val="003E4212"/>
    <w:rsid w:val="003E5ECE"/>
    <w:rsid w:val="003E6464"/>
    <w:rsid w:val="003E6F39"/>
    <w:rsid w:val="003E7245"/>
    <w:rsid w:val="003F1B9D"/>
    <w:rsid w:val="003F3244"/>
    <w:rsid w:val="003F36B0"/>
    <w:rsid w:val="003F3E83"/>
    <w:rsid w:val="003F7581"/>
    <w:rsid w:val="00401505"/>
    <w:rsid w:val="00402DA4"/>
    <w:rsid w:val="004033AD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52FC"/>
    <w:rsid w:val="00425FB6"/>
    <w:rsid w:val="004275A9"/>
    <w:rsid w:val="0043074F"/>
    <w:rsid w:val="00431038"/>
    <w:rsid w:val="00432990"/>
    <w:rsid w:val="00433846"/>
    <w:rsid w:val="00433E60"/>
    <w:rsid w:val="004348E7"/>
    <w:rsid w:val="004364CB"/>
    <w:rsid w:val="004400E1"/>
    <w:rsid w:val="00441C4F"/>
    <w:rsid w:val="004453A8"/>
    <w:rsid w:val="00446CDF"/>
    <w:rsid w:val="00447359"/>
    <w:rsid w:val="004500E8"/>
    <w:rsid w:val="00454B35"/>
    <w:rsid w:val="00457CEA"/>
    <w:rsid w:val="00461013"/>
    <w:rsid w:val="00461C1B"/>
    <w:rsid w:val="00462990"/>
    <w:rsid w:val="0046407F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D3"/>
    <w:rsid w:val="004B5686"/>
    <w:rsid w:val="004B6387"/>
    <w:rsid w:val="004B6858"/>
    <w:rsid w:val="004C19EB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543"/>
    <w:rsid w:val="004D7DC1"/>
    <w:rsid w:val="004E1493"/>
    <w:rsid w:val="004E31C8"/>
    <w:rsid w:val="004E585D"/>
    <w:rsid w:val="004E7F0E"/>
    <w:rsid w:val="004F383E"/>
    <w:rsid w:val="004F3B8E"/>
    <w:rsid w:val="004F662B"/>
    <w:rsid w:val="005027F6"/>
    <w:rsid w:val="0050300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E08"/>
    <w:rsid w:val="00523E25"/>
    <w:rsid w:val="0052448E"/>
    <w:rsid w:val="00524B74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2F97"/>
    <w:rsid w:val="005539AF"/>
    <w:rsid w:val="00554A21"/>
    <w:rsid w:val="00556B8F"/>
    <w:rsid w:val="00556BCD"/>
    <w:rsid w:val="00560794"/>
    <w:rsid w:val="00560D9F"/>
    <w:rsid w:val="0056269C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3055"/>
    <w:rsid w:val="00583BD5"/>
    <w:rsid w:val="00584399"/>
    <w:rsid w:val="00586479"/>
    <w:rsid w:val="00586482"/>
    <w:rsid w:val="005869EF"/>
    <w:rsid w:val="00587051"/>
    <w:rsid w:val="0058755A"/>
    <w:rsid w:val="005879C4"/>
    <w:rsid w:val="00587E05"/>
    <w:rsid w:val="00595A8F"/>
    <w:rsid w:val="005A00E5"/>
    <w:rsid w:val="005A0369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391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609D"/>
    <w:rsid w:val="005E6633"/>
    <w:rsid w:val="005F0120"/>
    <w:rsid w:val="005F0822"/>
    <w:rsid w:val="005F351D"/>
    <w:rsid w:val="005F43BC"/>
    <w:rsid w:val="005F4D97"/>
    <w:rsid w:val="005F4ECF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7444"/>
    <w:rsid w:val="00611C07"/>
    <w:rsid w:val="00611D69"/>
    <w:rsid w:val="00612F3B"/>
    <w:rsid w:val="00613173"/>
    <w:rsid w:val="00613438"/>
    <w:rsid w:val="0061375A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2705B"/>
    <w:rsid w:val="006308CA"/>
    <w:rsid w:val="00631B2D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50191"/>
    <w:rsid w:val="00650545"/>
    <w:rsid w:val="00651170"/>
    <w:rsid w:val="006515F4"/>
    <w:rsid w:val="0065238F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45C"/>
    <w:rsid w:val="00662A6C"/>
    <w:rsid w:val="0066359B"/>
    <w:rsid w:val="00663773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81AD9"/>
    <w:rsid w:val="00681B10"/>
    <w:rsid w:val="00682A80"/>
    <w:rsid w:val="00683B4C"/>
    <w:rsid w:val="00684428"/>
    <w:rsid w:val="00686338"/>
    <w:rsid w:val="00686DA7"/>
    <w:rsid w:val="006912BB"/>
    <w:rsid w:val="0069403C"/>
    <w:rsid w:val="0069467D"/>
    <w:rsid w:val="006955FC"/>
    <w:rsid w:val="00695F2C"/>
    <w:rsid w:val="006A0DA6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6E9A"/>
    <w:rsid w:val="006F0488"/>
    <w:rsid w:val="006F05E0"/>
    <w:rsid w:val="006F0EAB"/>
    <w:rsid w:val="006F26B3"/>
    <w:rsid w:val="006F2977"/>
    <w:rsid w:val="006F2A2C"/>
    <w:rsid w:val="006F2FA2"/>
    <w:rsid w:val="006F3949"/>
    <w:rsid w:val="006F4908"/>
    <w:rsid w:val="006F5504"/>
    <w:rsid w:val="006F5A09"/>
    <w:rsid w:val="006F6209"/>
    <w:rsid w:val="006F6CE5"/>
    <w:rsid w:val="006F7AD8"/>
    <w:rsid w:val="006F7F04"/>
    <w:rsid w:val="007003B4"/>
    <w:rsid w:val="00700640"/>
    <w:rsid w:val="00700896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4E01"/>
    <w:rsid w:val="007B51AD"/>
    <w:rsid w:val="007B67C2"/>
    <w:rsid w:val="007C09C8"/>
    <w:rsid w:val="007C1244"/>
    <w:rsid w:val="007C1287"/>
    <w:rsid w:val="007C3704"/>
    <w:rsid w:val="007C59B3"/>
    <w:rsid w:val="007C62A9"/>
    <w:rsid w:val="007C6754"/>
    <w:rsid w:val="007C70AE"/>
    <w:rsid w:val="007C7A76"/>
    <w:rsid w:val="007C7FB8"/>
    <w:rsid w:val="007D02F5"/>
    <w:rsid w:val="007D1013"/>
    <w:rsid w:val="007D2AB2"/>
    <w:rsid w:val="007D2EF2"/>
    <w:rsid w:val="007D3D14"/>
    <w:rsid w:val="007D7B14"/>
    <w:rsid w:val="007E029F"/>
    <w:rsid w:val="007E078E"/>
    <w:rsid w:val="007E18A6"/>
    <w:rsid w:val="007E1CF4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77"/>
    <w:rsid w:val="00830B48"/>
    <w:rsid w:val="008318D8"/>
    <w:rsid w:val="00833004"/>
    <w:rsid w:val="008342DC"/>
    <w:rsid w:val="00834A96"/>
    <w:rsid w:val="00836902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78BB"/>
    <w:rsid w:val="0086049A"/>
    <w:rsid w:val="00860E6D"/>
    <w:rsid w:val="00861E61"/>
    <w:rsid w:val="00862C01"/>
    <w:rsid w:val="00863F83"/>
    <w:rsid w:val="00865294"/>
    <w:rsid w:val="00865BDF"/>
    <w:rsid w:val="00865C80"/>
    <w:rsid w:val="00866429"/>
    <w:rsid w:val="00866CD8"/>
    <w:rsid w:val="008703BF"/>
    <w:rsid w:val="008709B6"/>
    <w:rsid w:val="008722FE"/>
    <w:rsid w:val="00874361"/>
    <w:rsid w:val="008753D4"/>
    <w:rsid w:val="0088084B"/>
    <w:rsid w:val="008836A2"/>
    <w:rsid w:val="008839B6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457D"/>
    <w:rsid w:val="008B49F0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F1"/>
    <w:rsid w:val="0093179B"/>
    <w:rsid w:val="00931EBA"/>
    <w:rsid w:val="009339EE"/>
    <w:rsid w:val="00933C12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509A6"/>
    <w:rsid w:val="0095230E"/>
    <w:rsid w:val="00952528"/>
    <w:rsid w:val="0095273A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11E4"/>
    <w:rsid w:val="009929C2"/>
    <w:rsid w:val="00993CBC"/>
    <w:rsid w:val="00993D67"/>
    <w:rsid w:val="00994241"/>
    <w:rsid w:val="009A0014"/>
    <w:rsid w:val="009A3FA6"/>
    <w:rsid w:val="009A4105"/>
    <w:rsid w:val="009A4E16"/>
    <w:rsid w:val="009A5414"/>
    <w:rsid w:val="009A77E9"/>
    <w:rsid w:val="009A7C28"/>
    <w:rsid w:val="009B2FFC"/>
    <w:rsid w:val="009B74D9"/>
    <w:rsid w:val="009C021B"/>
    <w:rsid w:val="009C16DA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1C96"/>
    <w:rsid w:val="00A02C4D"/>
    <w:rsid w:val="00A043DD"/>
    <w:rsid w:val="00A047EC"/>
    <w:rsid w:val="00A05473"/>
    <w:rsid w:val="00A05937"/>
    <w:rsid w:val="00A05EE1"/>
    <w:rsid w:val="00A06303"/>
    <w:rsid w:val="00A107F1"/>
    <w:rsid w:val="00A11AC8"/>
    <w:rsid w:val="00A1471E"/>
    <w:rsid w:val="00A1565A"/>
    <w:rsid w:val="00A15E44"/>
    <w:rsid w:val="00A16A03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26F0"/>
    <w:rsid w:val="00A335A3"/>
    <w:rsid w:val="00A3608E"/>
    <w:rsid w:val="00A36865"/>
    <w:rsid w:val="00A418CF"/>
    <w:rsid w:val="00A42290"/>
    <w:rsid w:val="00A42B75"/>
    <w:rsid w:val="00A436F0"/>
    <w:rsid w:val="00A443BD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431E"/>
    <w:rsid w:val="00A751C4"/>
    <w:rsid w:val="00A75589"/>
    <w:rsid w:val="00A75F71"/>
    <w:rsid w:val="00A77A52"/>
    <w:rsid w:val="00A77F28"/>
    <w:rsid w:val="00A800EC"/>
    <w:rsid w:val="00A82068"/>
    <w:rsid w:val="00A8327E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7AE1"/>
    <w:rsid w:val="00AA17BB"/>
    <w:rsid w:val="00AA192D"/>
    <w:rsid w:val="00AA1FCA"/>
    <w:rsid w:val="00AA303A"/>
    <w:rsid w:val="00AA3180"/>
    <w:rsid w:val="00AA783A"/>
    <w:rsid w:val="00AA7C51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A2C"/>
    <w:rsid w:val="00AC74B5"/>
    <w:rsid w:val="00AC7835"/>
    <w:rsid w:val="00AC7856"/>
    <w:rsid w:val="00AD1BA6"/>
    <w:rsid w:val="00AD3A20"/>
    <w:rsid w:val="00AD3E87"/>
    <w:rsid w:val="00AD4EC1"/>
    <w:rsid w:val="00AD72CD"/>
    <w:rsid w:val="00AD7A56"/>
    <w:rsid w:val="00AE1389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652"/>
    <w:rsid w:val="00B34016"/>
    <w:rsid w:val="00B412CE"/>
    <w:rsid w:val="00B4139F"/>
    <w:rsid w:val="00B41588"/>
    <w:rsid w:val="00B439C0"/>
    <w:rsid w:val="00B44749"/>
    <w:rsid w:val="00B45F9D"/>
    <w:rsid w:val="00B46E87"/>
    <w:rsid w:val="00B47493"/>
    <w:rsid w:val="00B510D5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67D76"/>
    <w:rsid w:val="00B67FA8"/>
    <w:rsid w:val="00B71882"/>
    <w:rsid w:val="00B72954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52B"/>
    <w:rsid w:val="00BA49F7"/>
    <w:rsid w:val="00BA4BC7"/>
    <w:rsid w:val="00BA5E87"/>
    <w:rsid w:val="00BA5EC2"/>
    <w:rsid w:val="00BA7FB3"/>
    <w:rsid w:val="00BB0136"/>
    <w:rsid w:val="00BB3592"/>
    <w:rsid w:val="00BB37BD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BF"/>
    <w:rsid w:val="00BE5E2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566E"/>
    <w:rsid w:val="00C058A0"/>
    <w:rsid w:val="00C060BA"/>
    <w:rsid w:val="00C1178F"/>
    <w:rsid w:val="00C11EA2"/>
    <w:rsid w:val="00C12415"/>
    <w:rsid w:val="00C12C56"/>
    <w:rsid w:val="00C12CEF"/>
    <w:rsid w:val="00C157C8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3BAE"/>
    <w:rsid w:val="00C44025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6778"/>
    <w:rsid w:val="00C66D33"/>
    <w:rsid w:val="00C67202"/>
    <w:rsid w:val="00C67713"/>
    <w:rsid w:val="00C67881"/>
    <w:rsid w:val="00C67C2A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7704"/>
    <w:rsid w:val="00CA7746"/>
    <w:rsid w:val="00CA7F61"/>
    <w:rsid w:val="00CB03DC"/>
    <w:rsid w:val="00CB0AFD"/>
    <w:rsid w:val="00CB1589"/>
    <w:rsid w:val="00CB265B"/>
    <w:rsid w:val="00CB35D0"/>
    <w:rsid w:val="00CB365C"/>
    <w:rsid w:val="00CB47A7"/>
    <w:rsid w:val="00CB647A"/>
    <w:rsid w:val="00CB6B69"/>
    <w:rsid w:val="00CC23E0"/>
    <w:rsid w:val="00CC2DF2"/>
    <w:rsid w:val="00CC32CD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3F6D"/>
    <w:rsid w:val="00CD48AD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70E6"/>
    <w:rsid w:val="00D322C8"/>
    <w:rsid w:val="00D3274F"/>
    <w:rsid w:val="00D36C71"/>
    <w:rsid w:val="00D37D7A"/>
    <w:rsid w:val="00D37F1C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62EB"/>
    <w:rsid w:val="00D81DAE"/>
    <w:rsid w:val="00D82FE1"/>
    <w:rsid w:val="00D83AFF"/>
    <w:rsid w:val="00D866AC"/>
    <w:rsid w:val="00D9105A"/>
    <w:rsid w:val="00D91807"/>
    <w:rsid w:val="00D91886"/>
    <w:rsid w:val="00D93294"/>
    <w:rsid w:val="00D935BA"/>
    <w:rsid w:val="00D935F2"/>
    <w:rsid w:val="00D94858"/>
    <w:rsid w:val="00D94F31"/>
    <w:rsid w:val="00D979BF"/>
    <w:rsid w:val="00DA19F8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C169C"/>
    <w:rsid w:val="00DC1A8F"/>
    <w:rsid w:val="00DC2037"/>
    <w:rsid w:val="00DC36E9"/>
    <w:rsid w:val="00DC3705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1159"/>
    <w:rsid w:val="00DF132B"/>
    <w:rsid w:val="00DF1ED0"/>
    <w:rsid w:val="00DF3C2B"/>
    <w:rsid w:val="00DF5835"/>
    <w:rsid w:val="00DF6516"/>
    <w:rsid w:val="00DF7A23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5158"/>
    <w:rsid w:val="00E16E07"/>
    <w:rsid w:val="00E22418"/>
    <w:rsid w:val="00E22810"/>
    <w:rsid w:val="00E23287"/>
    <w:rsid w:val="00E2591D"/>
    <w:rsid w:val="00E2643D"/>
    <w:rsid w:val="00E26F69"/>
    <w:rsid w:val="00E27DEA"/>
    <w:rsid w:val="00E30229"/>
    <w:rsid w:val="00E303DB"/>
    <w:rsid w:val="00E31B11"/>
    <w:rsid w:val="00E31B90"/>
    <w:rsid w:val="00E339A8"/>
    <w:rsid w:val="00E33FDE"/>
    <w:rsid w:val="00E34301"/>
    <w:rsid w:val="00E34864"/>
    <w:rsid w:val="00E3564B"/>
    <w:rsid w:val="00E401AC"/>
    <w:rsid w:val="00E4150E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0D81"/>
    <w:rsid w:val="00E51305"/>
    <w:rsid w:val="00E5317D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670DB"/>
    <w:rsid w:val="00E731CF"/>
    <w:rsid w:val="00E75809"/>
    <w:rsid w:val="00E772D0"/>
    <w:rsid w:val="00E81EE2"/>
    <w:rsid w:val="00E820CC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1B9A"/>
    <w:rsid w:val="00F450A4"/>
    <w:rsid w:val="00F4689F"/>
    <w:rsid w:val="00F46ADF"/>
    <w:rsid w:val="00F470A7"/>
    <w:rsid w:val="00F4778B"/>
    <w:rsid w:val="00F518B5"/>
    <w:rsid w:val="00F51E41"/>
    <w:rsid w:val="00F530EE"/>
    <w:rsid w:val="00F54192"/>
    <w:rsid w:val="00F555F2"/>
    <w:rsid w:val="00F55888"/>
    <w:rsid w:val="00F5596B"/>
    <w:rsid w:val="00F55E52"/>
    <w:rsid w:val="00F60AE8"/>
    <w:rsid w:val="00F61D93"/>
    <w:rsid w:val="00F62B9A"/>
    <w:rsid w:val="00F63FE1"/>
    <w:rsid w:val="00F6549A"/>
    <w:rsid w:val="00F65CE6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B501E"/>
    <w:rsid w:val="00FB5097"/>
    <w:rsid w:val="00FB5113"/>
    <w:rsid w:val="00FB5674"/>
    <w:rsid w:val="00FB57B3"/>
    <w:rsid w:val="00FB60F5"/>
    <w:rsid w:val="00FB7F35"/>
    <w:rsid w:val="00FC0DDF"/>
    <w:rsid w:val="00FC113D"/>
    <w:rsid w:val="00FC1217"/>
    <w:rsid w:val="00FC2BD1"/>
    <w:rsid w:val="00FC2F18"/>
    <w:rsid w:val="00FC3B11"/>
    <w:rsid w:val="00FC3C14"/>
    <w:rsid w:val="00FC494C"/>
    <w:rsid w:val="00FC66C5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B01AB-8159-41B7-BB13-3F076B02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1575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AFS</cp:lastModifiedBy>
  <cp:revision>2</cp:revision>
  <cp:lastPrinted>2023-10-08T21:05:00Z</cp:lastPrinted>
  <dcterms:created xsi:type="dcterms:W3CDTF">2023-12-17T18:48:00Z</dcterms:created>
  <dcterms:modified xsi:type="dcterms:W3CDTF">2023-12-17T18:48:00Z</dcterms:modified>
</cp:coreProperties>
</file>